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Расчет оценки эффективности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муниципальной программы Прокопьевского городского округа «Качество жизни» 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 2024 год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numPr>
          <w:ilvl w:val="0"/>
          <w:numId w:val="1"/>
        </w:numPr>
        <w:ind w:left="502" w:hanging="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Оценка степени достижения значений целевых показателей (индикаторов) реализации муниципальной программы и ее подпрограмм</w:t>
      </w:r>
    </w:p>
    <w:tbl>
      <w:tblPr>
        <w:tblW w:w="9780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425"/>
        <w:gridCol w:w="4537"/>
        <w:gridCol w:w="708"/>
        <w:gridCol w:w="566"/>
        <w:gridCol w:w="709"/>
        <w:gridCol w:w="1417"/>
        <w:gridCol w:w="1417"/>
      </w:tblGrid>
      <w:tr>
        <w:trPr/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№ </w:t>
            </w:r>
            <w:r>
              <w:rPr>
                <w:rFonts w:cs="Times New Roman" w:ascii="Times New Roman" w:hAnsi="Times New Roman"/>
              </w:rPr>
              <w:t>п/п</w:t>
            </w:r>
          </w:p>
        </w:tc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целевого показателя (индикатора)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 изм.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Значения целевого показателя (индикатора)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Коэффициент эффективности целевого показателя (индикатора)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Коэффициент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оценки эффективности реализации муниципальной программы и ее подпрограмм</w:t>
            </w:r>
          </w:p>
        </w:tc>
      </w:tr>
      <w:tr>
        <w:trPr>
          <w:trHeight w:val="227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</w:t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83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Муниципальная программа «Качество жизни»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1,00</w:t>
            </w:r>
          </w:p>
        </w:tc>
      </w:tr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получающих социальную поддержку, в общей численности населения города Прокопьевска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1,10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9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«Реализация мер социальной поддержки отдельных категорий граждан»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Средний размер денежных выплат на одного получателя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год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расходов на предоставление мер социальной поддержки отдельным категориям граждан в натуральной форме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9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27" w:hanging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социального обслуживания населения»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27" w:hanging="27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Отношение средней заработной платы социальных работников к средней заработной плате в регионе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муниципальных учреждений социального обслуживания, соответствующих установленным стандартам качества социального обслуживания, процентов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53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9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Подпрограмма «Реализация дополнительных мероприятий для граждан, находящихся в трудной жизненной ситуации или нуждающихся в особом участии государства и общества»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</w:rPr>
              <w:t>1,00</w:t>
            </w:r>
          </w:p>
        </w:tc>
      </w:tr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расходов на реализацию дополнительных мероприятий, направленных на повышение качества жизни населения, в общих расходах муниципальной программы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43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9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Подпрограмма «Повышение эффективности управления системой социальной поддержки и социального обслуживания»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</w:rPr>
              <w:t>1,00</w:t>
            </w:r>
          </w:p>
        </w:tc>
      </w:tr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расходов на управление муниципальной программой в общих расходах муниципальной программы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numPr>
          <w:ilvl w:val="0"/>
          <w:numId w:val="1"/>
        </w:numPr>
        <w:ind w:left="502" w:hanging="76"/>
        <w:jc w:val="both"/>
        <w:rPr>
          <w:sz w:val="24"/>
          <w:szCs w:val="24"/>
        </w:rPr>
      </w:pPr>
      <w:r>
        <w:rPr>
          <w:sz w:val="24"/>
          <w:szCs w:val="24"/>
        </w:rPr>
        <w:t>Эффективность расходования средств местного бюджета и иных источников ресурсного обеспечения муниципальной программы</w:t>
      </w:r>
    </w:p>
    <w:tbl>
      <w:tblPr>
        <w:tblStyle w:val="aa"/>
        <w:tblW w:w="978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119"/>
        <w:gridCol w:w="1984"/>
        <w:gridCol w:w="1864"/>
        <w:gridCol w:w="2813"/>
      </w:tblGrid>
      <w:tr>
        <w:trPr/>
        <w:tc>
          <w:tcPr>
            <w:tcW w:w="31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Источник финансирования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муниципальной программы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Плановый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объем финансовых ресурсов,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тыс. руб.</w:t>
            </w:r>
          </w:p>
        </w:tc>
        <w:tc>
          <w:tcPr>
            <w:tcW w:w="18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Фактический объем финансовых ресурсов,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тыс. руб.</w:t>
            </w:r>
          </w:p>
        </w:tc>
        <w:tc>
          <w:tcPr>
            <w:tcW w:w="28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Уровень финансирования, %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</w:r>
          </w:p>
        </w:tc>
      </w:tr>
      <w:tr>
        <w:trPr/>
        <w:tc>
          <w:tcPr>
            <w:tcW w:w="31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Всего: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677 564,9</w:t>
            </w:r>
          </w:p>
        </w:tc>
        <w:tc>
          <w:tcPr>
            <w:tcW w:w="186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673 036,9</w:t>
            </w:r>
          </w:p>
        </w:tc>
        <w:tc>
          <w:tcPr>
            <w:tcW w:w="28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99,3</w:t>
            </w:r>
          </w:p>
        </w:tc>
      </w:tr>
      <w:tr>
        <w:trPr/>
        <w:tc>
          <w:tcPr>
            <w:tcW w:w="31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местный бюджет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71 287,9</w:t>
            </w:r>
          </w:p>
        </w:tc>
        <w:tc>
          <w:tcPr>
            <w:tcW w:w="186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71 287,9</w:t>
            </w:r>
          </w:p>
        </w:tc>
        <w:tc>
          <w:tcPr>
            <w:tcW w:w="28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100,0</w:t>
            </w:r>
          </w:p>
        </w:tc>
      </w:tr>
      <w:tr>
        <w:trPr/>
        <w:tc>
          <w:tcPr>
            <w:tcW w:w="31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федеральный бюджет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12 997,4</w:t>
            </w:r>
          </w:p>
        </w:tc>
        <w:tc>
          <w:tcPr>
            <w:tcW w:w="186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12 997,4</w:t>
            </w:r>
          </w:p>
        </w:tc>
        <w:tc>
          <w:tcPr>
            <w:tcW w:w="28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100,0</w:t>
            </w:r>
          </w:p>
        </w:tc>
      </w:tr>
      <w:tr>
        <w:trPr/>
        <w:tc>
          <w:tcPr>
            <w:tcW w:w="31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областной бюджет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575 412,7</w:t>
            </w:r>
          </w:p>
        </w:tc>
        <w:tc>
          <w:tcPr>
            <w:tcW w:w="186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570 884,7</w:t>
            </w:r>
          </w:p>
        </w:tc>
        <w:tc>
          <w:tcPr>
            <w:tcW w:w="28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99,2</w:t>
            </w:r>
          </w:p>
        </w:tc>
      </w:tr>
      <w:tr>
        <w:trPr/>
        <w:tc>
          <w:tcPr>
            <w:tcW w:w="3119" w:type="dxa"/>
            <w:tcBorders/>
          </w:tcPr>
          <w:p>
            <w:pPr>
              <w:pStyle w:val="ConsPlus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средства юридических и физических лиц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17 866,9</w:t>
            </w:r>
          </w:p>
        </w:tc>
        <w:tc>
          <w:tcPr>
            <w:tcW w:w="186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17 866,9</w:t>
            </w:r>
          </w:p>
        </w:tc>
        <w:tc>
          <w:tcPr>
            <w:tcW w:w="28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100,0</w:t>
            </w:r>
          </w:p>
        </w:tc>
      </w:tr>
    </w:tbl>
    <w:p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Эффективность муниципальной программы и ее подпрограмм</w:t>
      </w:r>
    </w:p>
    <w:tbl>
      <w:tblPr>
        <w:tblStyle w:val="aa"/>
        <w:tblW w:w="9787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395"/>
        <w:gridCol w:w="1843"/>
        <w:gridCol w:w="1562"/>
        <w:gridCol w:w="1986"/>
      </w:tblGrid>
      <w:tr>
        <w:trPr/>
        <w:tc>
          <w:tcPr>
            <w:tcW w:w="4395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534" w:right="0" w:firstLine="534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Наименование</w:t>
            </w:r>
          </w:p>
        </w:tc>
        <w:tc>
          <w:tcPr>
            <w:tcW w:w="1843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Коэффициент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оценки эффективности реализации, %</w:t>
            </w:r>
          </w:p>
        </w:tc>
        <w:tc>
          <w:tcPr>
            <w:tcW w:w="1562" w:type="dxa"/>
            <w:tcBorders/>
            <w:vAlign w:val="center"/>
          </w:tcPr>
          <w:p>
            <w:pPr>
              <w:pStyle w:val="ConsPlusNonformat"/>
              <w:widowControl w:val="false"/>
              <w:suppressAutoHyphens w:val="true"/>
              <w:spacing w:before="0" w:after="0"/>
              <w:ind w:left="-109" w:right="-108" w:firstLine="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Уровень финансирования, %</w:t>
            </w:r>
          </w:p>
        </w:tc>
        <w:tc>
          <w:tcPr>
            <w:tcW w:w="1986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Показатель общей эффективности, %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i/>
                <w:i/>
              </w:rPr>
            </w:pPr>
            <w:r>
              <w:rPr>
                <w:i/>
              </w:rPr>
            </w:r>
          </w:p>
        </w:tc>
      </w:tr>
      <w:tr>
        <w:trPr/>
        <w:tc>
          <w:tcPr>
            <w:tcW w:w="4395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Муниципальная программа «Качество жизни»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1843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100</w:t>
            </w:r>
          </w:p>
        </w:tc>
        <w:tc>
          <w:tcPr>
            <w:tcW w:w="1562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99,3</w:t>
            </w:r>
          </w:p>
        </w:tc>
        <w:tc>
          <w:tcPr>
            <w:tcW w:w="1986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100,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</w:tr>
      <w:tr>
        <w:trPr/>
        <w:tc>
          <w:tcPr>
            <w:tcW w:w="439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1. Подпрограмма «Реализация мер социальной поддержки отдельных категорий граждан»</w:t>
            </w:r>
          </w:p>
        </w:tc>
        <w:tc>
          <w:tcPr>
            <w:tcW w:w="1843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100</w:t>
            </w:r>
          </w:p>
        </w:tc>
        <w:tc>
          <w:tcPr>
            <w:tcW w:w="1562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97,9</w:t>
            </w:r>
          </w:p>
        </w:tc>
        <w:tc>
          <w:tcPr>
            <w:tcW w:w="1986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102,1</w:t>
            </w:r>
          </w:p>
        </w:tc>
      </w:tr>
      <w:tr>
        <w:trPr/>
        <w:tc>
          <w:tcPr>
            <w:tcW w:w="4395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2. Подпрограмма «Развитие социального обслуживания населения»</w:t>
            </w:r>
          </w:p>
        </w:tc>
        <w:tc>
          <w:tcPr>
            <w:tcW w:w="1843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100</w:t>
            </w:r>
          </w:p>
        </w:tc>
        <w:tc>
          <w:tcPr>
            <w:tcW w:w="1562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99,8</w:t>
            </w:r>
          </w:p>
        </w:tc>
        <w:tc>
          <w:tcPr>
            <w:tcW w:w="1986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100,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</w:tr>
      <w:tr>
        <w:trPr/>
        <w:tc>
          <w:tcPr>
            <w:tcW w:w="4395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3. Подпрограмма «Реализация дополнительных мероприятий для граждан, находящихся в трудной жизненной ситуации или нуждающихся в особом участии государства и общества»</w:t>
            </w:r>
          </w:p>
        </w:tc>
        <w:tc>
          <w:tcPr>
            <w:tcW w:w="1843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100</w:t>
            </w:r>
          </w:p>
        </w:tc>
        <w:tc>
          <w:tcPr>
            <w:tcW w:w="1562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100</w:t>
            </w:r>
          </w:p>
        </w:tc>
        <w:tc>
          <w:tcPr>
            <w:tcW w:w="1986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100</w:t>
            </w:r>
          </w:p>
        </w:tc>
      </w:tr>
      <w:tr>
        <w:trPr/>
        <w:tc>
          <w:tcPr>
            <w:tcW w:w="4395" w:type="dxa"/>
            <w:tcBorders/>
          </w:tcPr>
          <w:p>
            <w:pPr>
              <w:pStyle w:val="ConsPlus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 Подпрограмма «Повышение эффективности управления системой социальной поддержки и социального обслуживания»</w:t>
            </w:r>
          </w:p>
        </w:tc>
        <w:tc>
          <w:tcPr>
            <w:tcW w:w="1843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100</w:t>
            </w:r>
          </w:p>
        </w:tc>
        <w:tc>
          <w:tcPr>
            <w:tcW w:w="1562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97,8</w:t>
            </w:r>
          </w:p>
        </w:tc>
        <w:tc>
          <w:tcPr>
            <w:tcW w:w="1986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102,2</w:t>
            </w:r>
          </w:p>
        </w:tc>
      </w:tr>
    </w:tbl>
    <w:p>
      <w:pPr>
        <w:pStyle w:val="Normal"/>
        <w:ind w:left="426" w:firstLine="282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Муниципальная программа считается реализуемой с удовлетворительным уровнем эффективности.</w:t>
      </w:r>
    </w:p>
    <w:p>
      <w:pPr>
        <w:pStyle w:val="Normal"/>
        <w:ind w:firstLine="708"/>
        <w:jc w:val="both"/>
        <w:rPr/>
      </w:pPr>
      <w:r>
        <w:rPr/>
        <w:t>В целом реализация муниципальной программы позволила обеспечить:</w:t>
      </w:r>
    </w:p>
    <w:p>
      <w:pPr>
        <w:pStyle w:val="Normal"/>
        <w:ind w:firstLine="708"/>
        <w:jc w:val="both"/>
        <w:rPr/>
      </w:pPr>
      <w:r>
        <w:rPr/>
        <w:t>1.сохранение социальной стабильности;</w:t>
      </w:r>
      <w:r>
        <w:rPr>
          <w:highlight w:val="yellow"/>
        </w:rPr>
        <w:t xml:space="preserve">    </w:t>
      </w:r>
    </w:p>
    <w:p>
      <w:pPr>
        <w:pStyle w:val="Normal"/>
        <w:ind w:firstLine="708"/>
        <w:jc w:val="both"/>
        <w:rPr/>
      </w:pPr>
      <w:r>
        <w:rPr/>
        <w:t>2.своевременное и в полном объеме предоставление мер социальной поддержки, социальных выплат и льгот отдельным категориям граждан в соответствии с действующим федеральным, региональным и муниципальным законодательством.</w:t>
      </w:r>
    </w:p>
    <w:p>
      <w:pPr>
        <w:pStyle w:val="ConsPlusNormal"/>
        <w:ind w:left="426" w:hanging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cs="Times New Roman" w:ascii="Times New Roman" w:hAnsi="Times New Roman"/>
          <w:color w:val="FF0000"/>
          <w:sz w:val="24"/>
          <w:szCs w:val="24"/>
        </w:rPr>
      </w:r>
    </w:p>
    <w:p>
      <w:pPr>
        <w:pStyle w:val="ConsPlusNonformat"/>
        <w:ind w:left="28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left="28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left="284" w:hanging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Директор муниципальной программы:</w:t>
      </w:r>
    </w:p>
    <w:p>
      <w:pPr>
        <w:pStyle w:val="Normal"/>
        <w:widowControl w:val="false"/>
        <w:ind w:left="284" w:hanging="0"/>
        <w:jc w:val="both"/>
        <w:rPr/>
      </w:pPr>
      <w:bookmarkStart w:id="0" w:name="_GoBack"/>
      <w:bookmarkEnd w:id="0"/>
      <w:r>
        <w:rPr/>
        <w:t>Заместитель главы города Прокопьевска</w:t>
      </w:r>
    </w:p>
    <w:p>
      <w:pPr>
        <w:pStyle w:val="Normal"/>
        <w:widowControl w:val="false"/>
        <w:ind w:left="284" w:hanging="0"/>
        <w:jc w:val="both"/>
        <w:rPr/>
      </w:pPr>
      <w:r>
        <w:rPr/>
        <w:t xml:space="preserve">по социальным вопросам                                         </w:t>
        <w:tab/>
        <w:tab/>
        <w:tab/>
        <w:t xml:space="preserve">             О.В.Сергеева</w:t>
      </w:r>
    </w:p>
    <w:p>
      <w:pPr>
        <w:pStyle w:val="ConsPlusNonformat"/>
        <w:ind w:left="28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left="28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left="28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left="28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left="28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Исполнитель:</w:t>
      </w:r>
    </w:p>
    <w:p>
      <w:pPr>
        <w:pStyle w:val="ConsPlusNonformat"/>
        <w:ind w:left="28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Председатель Комитета </w:t>
        <w:tab/>
        <w:tab/>
        <w:tab/>
        <w:t xml:space="preserve">            </w:t>
        <w:tab/>
        <w:tab/>
        <w:t xml:space="preserve">                       Н.Н. Яркиева</w:t>
      </w:r>
    </w:p>
    <w:p>
      <w:pPr>
        <w:pStyle w:val="ConsPlusNonformat"/>
        <w:ind w:left="28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left="28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left="28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Заместитель председателя</w:t>
        <w:tab/>
        <w:tab/>
        <w:tab/>
        <w:t xml:space="preserve">  </w:t>
        <w:tab/>
        <w:tab/>
        <w:t xml:space="preserve">                       Т.В. Дрокова</w:t>
      </w:r>
    </w:p>
    <w:p>
      <w:pPr>
        <w:pStyle w:val="ConsPlusNonformat"/>
        <w:ind w:left="28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ind w:left="284" w:hanging="0"/>
        <w:jc w:val="both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телефон: 8 (3846) 61-23-34</w:t>
      </w:r>
    </w:p>
    <w:sectPr>
      <w:type w:val="nextPage"/>
      <w:pgSz w:w="11906" w:h="16838"/>
      <w:pgMar w:left="1418" w:right="851" w:gutter="0" w:header="0" w:top="1134" w:footer="0" w:bottom="1134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ahoma">
    <w:charset w:val="01"/>
    <w:family w:val="roman"/>
    <w:pitch w:val="default"/>
  </w:font>
  <w:font w:name="Arial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ea798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3">
    <w:name w:val="Heading 3"/>
    <w:basedOn w:val="Normal"/>
    <w:next w:val="Normal"/>
    <w:qFormat/>
    <w:rsid w:val="00ea7983"/>
    <w:pPr>
      <w:keepNext w:val="true"/>
      <w:jc w:val="both"/>
      <w:outlineLvl w:val="2"/>
    </w:pPr>
    <w:rPr>
      <w:sz w:val="28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basedOn w:val="DefaultParagraphFont"/>
    <w:uiPriority w:val="99"/>
    <w:qFormat/>
    <w:rsid w:val="00fa2773"/>
    <w:rPr>
      <w:sz w:val="24"/>
      <w:szCs w:val="24"/>
    </w:rPr>
  </w:style>
  <w:style w:type="character" w:styleId="Style14" w:customStyle="1">
    <w:name w:val="Нижний колонтитул Знак"/>
    <w:basedOn w:val="DefaultParagraphFont"/>
    <w:qFormat/>
    <w:rsid w:val="00fa2773"/>
    <w:rPr>
      <w:sz w:val="24"/>
      <w:szCs w:val="24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rsid w:val="00ea7983"/>
    <w:pPr>
      <w:jc w:val="both"/>
      <w:outlineLvl w:val="0"/>
    </w:pPr>
    <w:rPr>
      <w:sz w:val="28"/>
    </w:rPr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onsPlusNonformat" w:customStyle="1">
    <w:name w:val="ConsPlusNonformat"/>
    <w:qFormat/>
    <w:rsid w:val="00ea7983"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3"/>
    <w:uiPriority w:val="99"/>
    <w:rsid w:val="00ea798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semiHidden/>
    <w:qFormat/>
    <w:rsid w:val="00aa4691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c5b3b"/>
    <w:pPr>
      <w:widowControl w:val="false"/>
      <w:spacing w:before="0" w:after="0"/>
      <w:ind w:left="720" w:hanging="0"/>
      <w:contextualSpacing/>
    </w:pPr>
    <w:rPr>
      <w:sz w:val="20"/>
      <w:szCs w:val="20"/>
    </w:rPr>
  </w:style>
  <w:style w:type="paragraph" w:styleId="Style22">
    <w:name w:val="Footer"/>
    <w:basedOn w:val="Normal"/>
    <w:link w:val="Style14"/>
    <w:rsid w:val="00fa277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rmal" w:customStyle="1">
    <w:name w:val="ConsPlusNormal"/>
    <w:qFormat/>
    <w:rsid w:val="00c73efa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3">
    <w:name w:val="Содержимое таблицы"/>
    <w:basedOn w:val="Normal"/>
    <w:qFormat/>
    <w:pPr>
      <w:widowControl w:val="false"/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rsid w:val="0008145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B32358-820D-4BEC-A477-22BEB6AD8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Application>LibreOffice/7.5.6.2$Linux_X86_64 LibreOffice_project/50$Build-2</Application>
  <AppVersion>15.0000</AppVersion>
  <Pages>2</Pages>
  <Words>477</Words>
  <Characters>3432</Characters>
  <CharactersWithSpaces>3899</CharactersWithSpaces>
  <Paragraphs>138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2024-03-25T09:10:00Z</dcterms:created>
  <dc:creator>User</dc:creator>
  <dc:description/>
  <dc:language>ru-RU</dc:language>
  <cp:lastModifiedBy/>
  <cp:lastPrinted>2025-03-20T12:51:36Z</cp:lastPrinted>
  <dcterms:modified xsi:type="dcterms:W3CDTF">2025-03-20T13:03:44Z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